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086" w:rsidRPr="00721086" w:rsidRDefault="00721086" w:rsidP="00327030">
      <w:pPr>
        <w:ind w:left="6237"/>
      </w:pPr>
      <w:r>
        <w:t xml:space="preserve">УТВЕРЖДЕНО                   </w:t>
      </w:r>
      <w:r w:rsidR="00327030">
        <w:t xml:space="preserve">  </w:t>
      </w:r>
      <w:r>
        <w:t>Решение Директора Частного унитарного предприятия по оказанию услуг «</w:t>
      </w:r>
      <w:proofErr w:type="spellStart"/>
      <w:r>
        <w:t>Билд</w:t>
      </w:r>
      <w:proofErr w:type="spellEnd"/>
      <w:r>
        <w:t xml:space="preserve">-траст» </w:t>
      </w:r>
      <w:r w:rsidR="00327030">
        <w:t xml:space="preserve">Решение № 3 от 7 сентября </w:t>
      </w:r>
      <w:r>
        <w:t xml:space="preserve">2017 </w:t>
      </w:r>
    </w:p>
    <w:p w:rsidR="00721086" w:rsidRDefault="00721086">
      <w:pPr>
        <w:rPr>
          <w:sz w:val="24"/>
          <w:szCs w:val="24"/>
        </w:rPr>
      </w:pPr>
    </w:p>
    <w:p w:rsidR="00721086" w:rsidRDefault="00721086" w:rsidP="00721086">
      <w:pPr>
        <w:jc w:val="center"/>
        <w:rPr>
          <w:b/>
          <w:sz w:val="40"/>
          <w:szCs w:val="40"/>
        </w:rPr>
      </w:pPr>
    </w:p>
    <w:p w:rsidR="00721086" w:rsidRDefault="00721086" w:rsidP="00721086">
      <w:pPr>
        <w:jc w:val="center"/>
        <w:rPr>
          <w:b/>
          <w:sz w:val="40"/>
          <w:szCs w:val="40"/>
        </w:rPr>
      </w:pPr>
    </w:p>
    <w:p w:rsidR="00721086" w:rsidRDefault="00721086" w:rsidP="00721086">
      <w:pPr>
        <w:jc w:val="center"/>
        <w:rPr>
          <w:b/>
          <w:sz w:val="40"/>
          <w:szCs w:val="40"/>
        </w:rPr>
      </w:pPr>
    </w:p>
    <w:p w:rsidR="00721086" w:rsidRDefault="00721086" w:rsidP="00721086">
      <w:pPr>
        <w:jc w:val="center"/>
        <w:rPr>
          <w:b/>
          <w:sz w:val="40"/>
          <w:szCs w:val="40"/>
        </w:rPr>
      </w:pPr>
    </w:p>
    <w:p w:rsidR="00721086" w:rsidRDefault="00721086" w:rsidP="00721086">
      <w:pPr>
        <w:jc w:val="center"/>
        <w:rPr>
          <w:b/>
          <w:sz w:val="40"/>
          <w:szCs w:val="40"/>
        </w:rPr>
      </w:pPr>
    </w:p>
    <w:p w:rsidR="00721086" w:rsidRDefault="00721086" w:rsidP="00721086">
      <w:pPr>
        <w:jc w:val="center"/>
        <w:rPr>
          <w:b/>
          <w:sz w:val="40"/>
          <w:szCs w:val="40"/>
        </w:rPr>
      </w:pPr>
    </w:p>
    <w:p w:rsidR="00721086" w:rsidRPr="00721086" w:rsidRDefault="00721086" w:rsidP="00721086">
      <w:pPr>
        <w:jc w:val="center"/>
        <w:rPr>
          <w:b/>
          <w:sz w:val="40"/>
          <w:szCs w:val="40"/>
        </w:rPr>
      </w:pPr>
    </w:p>
    <w:p w:rsidR="00721086" w:rsidRPr="00721086" w:rsidRDefault="00721086" w:rsidP="00721086">
      <w:pPr>
        <w:jc w:val="center"/>
        <w:rPr>
          <w:b/>
          <w:sz w:val="40"/>
          <w:szCs w:val="40"/>
        </w:rPr>
      </w:pPr>
      <w:r>
        <w:rPr>
          <w:b/>
          <w:sz w:val="40"/>
          <w:szCs w:val="40"/>
        </w:rPr>
        <w:t>Регламент осуществления</w:t>
      </w:r>
      <w:r w:rsidRPr="00721086">
        <w:rPr>
          <w:b/>
          <w:sz w:val="40"/>
          <w:szCs w:val="40"/>
        </w:rPr>
        <w:t xml:space="preserve"> брокерской деятельности </w:t>
      </w:r>
      <w:r>
        <w:rPr>
          <w:b/>
          <w:sz w:val="40"/>
          <w:szCs w:val="40"/>
        </w:rPr>
        <w:t xml:space="preserve">по ценным бумагам </w:t>
      </w:r>
      <w:r w:rsidRPr="00721086">
        <w:rPr>
          <w:b/>
          <w:sz w:val="40"/>
          <w:szCs w:val="40"/>
        </w:rPr>
        <w:t>в частном унитарном предприятии по оказанию услуг «</w:t>
      </w:r>
      <w:proofErr w:type="spellStart"/>
      <w:r w:rsidRPr="00721086">
        <w:rPr>
          <w:b/>
          <w:sz w:val="40"/>
          <w:szCs w:val="40"/>
        </w:rPr>
        <w:t>Билд</w:t>
      </w:r>
      <w:proofErr w:type="spellEnd"/>
      <w:r w:rsidRPr="00721086">
        <w:rPr>
          <w:b/>
          <w:sz w:val="40"/>
          <w:szCs w:val="40"/>
        </w:rPr>
        <w:t>-траст»</w:t>
      </w:r>
    </w:p>
    <w:p w:rsidR="00721086" w:rsidRDefault="00721086">
      <w:pPr>
        <w:rPr>
          <w:sz w:val="24"/>
          <w:szCs w:val="24"/>
        </w:rPr>
      </w:pPr>
    </w:p>
    <w:p w:rsidR="00721086" w:rsidRDefault="00721086">
      <w:pPr>
        <w:rPr>
          <w:sz w:val="24"/>
          <w:szCs w:val="24"/>
        </w:rPr>
      </w:pPr>
    </w:p>
    <w:p w:rsidR="00721086" w:rsidRDefault="00721086">
      <w:pPr>
        <w:rPr>
          <w:sz w:val="24"/>
          <w:szCs w:val="24"/>
        </w:rPr>
      </w:pPr>
    </w:p>
    <w:p w:rsidR="00721086" w:rsidRDefault="00721086">
      <w:pPr>
        <w:rPr>
          <w:sz w:val="24"/>
          <w:szCs w:val="24"/>
        </w:rPr>
      </w:pPr>
    </w:p>
    <w:p w:rsidR="00721086" w:rsidRDefault="00721086">
      <w:pPr>
        <w:rPr>
          <w:sz w:val="24"/>
          <w:szCs w:val="24"/>
        </w:rPr>
      </w:pPr>
    </w:p>
    <w:p w:rsidR="00721086" w:rsidRDefault="00721086">
      <w:pPr>
        <w:rPr>
          <w:sz w:val="24"/>
          <w:szCs w:val="24"/>
        </w:rPr>
      </w:pPr>
    </w:p>
    <w:p w:rsidR="00721086" w:rsidRDefault="00721086">
      <w:pPr>
        <w:rPr>
          <w:sz w:val="24"/>
          <w:szCs w:val="24"/>
        </w:rPr>
      </w:pPr>
    </w:p>
    <w:p w:rsidR="00721086" w:rsidRDefault="00721086">
      <w:pPr>
        <w:rPr>
          <w:sz w:val="24"/>
          <w:szCs w:val="24"/>
        </w:rPr>
      </w:pPr>
    </w:p>
    <w:p w:rsidR="00721086" w:rsidRDefault="00721086">
      <w:pPr>
        <w:rPr>
          <w:sz w:val="24"/>
          <w:szCs w:val="24"/>
        </w:rPr>
      </w:pPr>
    </w:p>
    <w:p w:rsidR="00721086" w:rsidRDefault="00721086">
      <w:pPr>
        <w:rPr>
          <w:sz w:val="24"/>
          <w:szCs w:val="24"/>
        </w:rPr>
      </w:pPr>
    </w:p>
    <w:p w:rsidR="00721086" w:rsidRDefault="00721086">
      <w:pPr>
        <w:rPr>
          <w:sz w:val="24"/>
          <w:szCs w:val="24"/>
        </w:rPr>
      </w:pPr>
    </w:p>
    <w:p w:rsidR="00721086" w:rsidRPr="00721086" w:rsidRDefault="00721086" w:rsidP="00721086">
      <w:pPr>
        <w:jc w:val="center"/>
        <w:rPr>
          <w:b/>
          <w:sz w:val="24"/>
          <w:szCs w:val="24"/>
        </w:rPr>
      </w:pPr>
      <w:r w:rsidRPr="00721086">
        <w:rPr>
          <w:b/>
          <w:sz w:val="24"/>
          <w:szCs w:val="24"/>
        </w:rPr>
        <w:t>д. Копище 2017</w:t>
      </w:r>
    </w:p>
    <w:p w:rsidR="00721086" w:rsidRDefault="00721086">
      <w:pPr>
        <w:rPr>
          <w:sz w:val="24"/>
          <w:szCs w:val="24"/>
        </w:rPr>
      </w:pPr>
    </w:p>
    <w:p w:rsidR="006D587C" w:rsidRDefault="006D587C" w:rsidP="00721086">
      <w:pPr>
        <w:ind w:firstLine="708"/>
        <w:rPr>
          <w:sz w:val="24"/>
          <w:szCs w:val="24"/>
        </w:rPr>
      </w:pPr>
      <w:r w:rsidRPr="006D587C">
        <w:rPr>
          <w:sz w:val="24"/>
          <w:szCs w:val="24"/>
        </w:rPr>
        <w:t>Настоящий Регламент осуществления брокерской деятельности по ценным бумагам в частном унитарном предприятии по оказанию услуг «</w:t>
      </w:r>
      <w:proofErr w:type="spellStart"/>
      <w:r w:rsidRPr="006D587C">
        <w:rPr>
          <w:sz w:val="24"/>
          <w:szCs w:val="24"/>
        </w:rPr>
        <w:t>Билд</w:t>
      </w:r>
      <w:proofErr w:type="spellEnd"/>
      <w:r w:rsidRPr="006D587C">
        <w:rPr>
          <w:sz w:val="24"/>
          <w:szCs w:val="24"/>
        </w:rPr>
        <w:t>-траст» (далее – регламент) устанавливает порядок осуществления брокерской деятельности частным предприятием «</w:t>
      </w:r>
      <w:proofErr w:type="spellStart"/>
      <w:r w:rsidRPr="006D587C">
        <w:rPr>
          <w:sz w:val="24"/>
          <w:szCs w:val="24"/>
        </w:rPr>
        <w:t>Билд</w:t>
      </w:r>
      <w:proofErr w:type="spellEnd"/>
      <w:r w:rsidRPr="006D587C">
        <w:rPr>
          <w:sz w:val="24"/>
          <w:szCs w:val="24"/>
        </w:rPr>
        <w:t xml:space="preserve">-траст» (далее – Организация) и разработан в соответствии c действующим законодательством Республики Беларусь. </w:t>
      </w:r>
    </w:p>
    <w:p w:rsidR="00721086" w:rsidRPr="006D587C" w:rsidRDefault="00721086" w:rsidP="006D587C">
      <w:pPr>
        <w:spacing w:line="276" w:lineRule="auto"/>
        <w:jc w:val="both"/>
        <w:rPr>
          <w:sz w:val="24"/>
          <w:szCs w:val="24"/>
        </w:rPr>
      </w:pPr>
    </w:p>
    <w:p w:rsidR="006D587C" w:rsidRPr="00721086" w:rsidRDefault="006D587C" w:rsidP="00721086">
      <w:pPr>
        <w:spacing w:line="276" w:lineRule="auto"/>
        <w:jc w:val="center"/>
        <w:rPr>
          <w:b/>
          <w:sz w:val="28"/>
          <w:szCs w:val="28"/>
        </w:rPr>
      </w:pPr>
      <w:r w:rsidRPr="00721086">
        <w:rPr>
          <w:b/>
          <w:sz w:val="28"/>
          <w:szCs w:val="28"/>
        </w:rPr>
        <w:t>1. Общие положения</w:t>
      </w:r>
    </w:p>
    <w:p w:rsidR="006D587C" w:rsidRPr="006D587C" w:rsidRDefault="006D587C" w:rsidP="00721086">
      <w:pPr>
        <w:spacing w:line="276" w:lineRule="auto"/>
        <w:ind w:firstLine="708"/>
        <w:jc w:val="both"/>
        <w:rPr>
          <w:sz w:val="24"/>
          <w:szCs w:val="24"/>
        </w:rPr>
      </w:pPr>
      <w:r w:rsidRPr="006D587C">
        <w:rPr>
          <w:sz w:val="24"/>
          <w:szCs w:val="24"/>
        </w:rPr>
        <w:t xml:space="preserve">1.1. Брокерская деятельность осуществляется Организацией на основании специального разрешения (лицензии), выданного Министерством финансов Республики Беларусь на осуществление профессиональной и биржевой деятельности по ценным бумагам, включающего брокерскую деятельность. </w:t>
      </w:r>
    </w:p>
    <w:p w:rsidR="006D587C" w:rsidRPr="006D587C" w:rsidRDefault="006D587C" w:rsidP="00721086">
      <w:pPr>
        <w:spacing w:line="276" w:lineRule="auto"/>
        <w:ind w:firstLine="708"/>
        <w:jc w:val="both"/>
        <w:rPr>
          <w:sz w:val="24"/>
          <w:szCs w:val="24"/>
        </w:rPr>
      </w:pPr>
      <w:r w:rsidRPr="006D587C">
        <w:rPr>
          <w:sz w:val="24"/>
          <w:szCs w:val="24"/>
        </w:rPr>
        <w:t xml:space="preserve">1.2. В настоящем Регламенте применяются следующие термины и их определения: </w:t>
      </w:r>
    </w:p>
    <w:p w:rsidR="006D587C" w:rsidRPr="006D587C" w:rsidRDefault="00721086" w:rsidP="006D587C">
      <w:pPr>
        <w:spacing w:line="276" w:lineRule="auto"/>
        <w:jc w:val="both"/>
        <w:rPr>
          <w:sz w:val="24"/>
          <w:szCs w:val="24"/>
        </w:rPr>
      </w:pPr>
      <w:r>
        <w:rPr>
          <w:b/>
          <w:sz w:val="24"/>
          <w:szCs w:val="24"/>
        </w:rPr>
        <w:t>Б</w:t>
      </w:r>
      <w:r w:rsidR="006D587C" w:rsidRPr="00721086">
        <w:rPr>
          <w:b/>
          <w:sz w:val="24"/>
          <w:szCs w:val="24"/>
        </w:rPr>
        <w:t>рокерская деятельность</w:t>
      </w:r>
      <w:r w:rsidR="006D587C" w:rsidRPr="006D587C">
        <w:rPr>
          <w:sz w:val="24"/>
          <w:szCs w:val="24"/>
        </w:rPr>
        <w:t xml:space="preserve"> – посредническая деятельность Организации по совершению сделок с ценными бумагами за </w:t>
      </w:r>
      <w:r w:rsidR="00327030" w:rsidRPr="006D587C">
        <w:rPr>
          <w:sz w:val="24"/>
          <w:szCs w:val="24"/>
        </w:rPr>
        <w:t>счёт</w:t>
      </w:r>
      <w:r w:rsidR="006D587C" w:rsidRPr="006D587C">
        <w:rPr>
          <w:sz w:val="24"/>
          <w:szCs w:val="24"/>
        </w:rPr>
        <w:t xml:space="preserve"> Клиента в качестве поверенного или комиссионера; </w:t>
      </w:r>
    </w:p>
    <w:p w:rsidR="006D587C" w:rsidRPr="006D587C" w:rsidRDefault="00721086" w:rsidP="006D587C">
      <w:pPr>
        <w:spacing w:line="276" w:lineRule="auto"/>
        <w:jc w:val="both"/>
        <w:rPr>
          <w:sz w:val="24"/>
          <w:szCs w:val="24"/>
        </w:rPr>
      </w:pPr>
      <w:r>
        <w:rPr>
          <w:b/>
          <w:sz w:val="24"/>
          <w:szCs w:val="24"/>
        </w:rPr>
        <w:t>Б</w:t>
      </w:r>
      <w:r w:rsidR="006D587C" w:rsidRPr="00721086">
        <w:rPr>
          <w:b/>
          <w:sz w:val="24"/>
          <w:szCs w:val="24"/>
        </w:rPr>
        <w:t>иржевой рынок</w:t>
      </w:r>
      <w:r w:rsidR="006D587C" w:rsidRPr="006D587C">
        <w:rPr>
          <w:sz w:val="24"/>
          <w:szCs w:val="24"/>
        </w:rPr>
        <w:t xml:space="preserve"> – рынок, на котором совершение сделок купли-продажи ценных бумаг осуществляется через биржевую торговую систему; </w:t>
      </w:r>
    </w:p>
    <w:p w:rsidR="006D587C" w:rsidRPr="006D587C" w:rsidRDefault="00721086" w:rsidP="006D587C">
      <w:pPr>
        <w:spacing w:line="276" w:lineRule="auto"/>
        <w:jc w:val="both"/>
        <w:rPr>
          <w:sz w:val="24"/>
          <w:szCs w:val="24"/>
        </w:rPr>
      </w:pPr>
      <w:r>
        <w:rPr>
          <w:b/>
          <w:sz w:val="24"/>
          <w:szCs w:val="24"/>
        </w:rPr>
        <w:t>В</w:t>
      </w:r>
      <w:r w:rsidR="006D587C" w:rsidRPr="00721086">
        <w:rPr>
          <w:b/>
          <w:sz w:val="24"/>
          <w:szCs w:val="24"/>
        </w:rPr>
        <w:t>небиржевой рынок</w:t>
      </w:r>
      <w:r w:rsidR="006D587C" w:rsidRPr="006D587C">
        <w:rPr>
          <w:sz w:val="24"/>
          <w:szCs w:val="24"/>
        </w:rPr>
        <w:t xml:space="preserve"> – рынок, на котором совершение сделок с ценными бумагами осуществляется вне биржевой торговой системы; </w:t>
      </w:r>
    </w:p>
    <w:p w:rsidR="006D587C" w:rsidRPr="006D587C" w:rsidRDefault="006D587C" w:rsidP="006D587C">
      <w:pPr>
        <w:spacing w:line="276" w:lineRule="auto"/>
        <w:jc w:val="both"/>
        <w:rPr>
          <w:sz w:val="24"/>
          <w:szCs w:val="24"/>
        </w:rPr>
      </w:pPr>
      <w:r w:rsidRPr="00721086">
        <w:rPr>
          <w:b/>
          <w:sz w:val="24"/>
          <w:szCs w:val="24"/>
        </w:rPr>
        <w:t>Клиент</w:t>
      </w:r>
      <w:r w:rsidRPr="006D587C">
        <w:rPr>
          <w:sz w:val="24"/>
          <w:szCs w:val="24"/>
        </w:rPr>
        <w:t xml:space="preserve"> – физическое или юридическое лицо, заключившее с Организацией договор, устанавливающий условия, перечень и порядок предоставления ему услуг на рынке ценных бумаг; </w:t>
      </w:r>
    </w:p>
    <w:p w:rsidR="006D587C" w:rsidRPr="006D587C" w:rsidRDefault="006D587C" w:rsidP="006D587C">
      <w:pPr>
        <w:spacing w:line="276" w:lineRule="auto"/>
        <w:jc w:val="both"/>
        <w:rPr>
          <w:sz w:val="24"/>
          <w:szCs w:val="24"/>
        </w:rPr>
      </w:pPr>
      <w:r w:rsidRPr="00721086">
        <w:rPr>
          <w:b/>
          <w:sz w:val="24"/>
          <w:szCs w:val="24"/>
        </w:rPr>
        <w:t>Контрагент</w:t>
      </w:r>
      <w:r w:rsidRPr="006D587C">
        <w:rPr>
          <w:sz w:val="24"/>
          <w:szCs w:val="24"/>
        </w:rPr>
        <w:t xml:space="preserve"> – сторона по сделке, осуществляемой Организацией в рамках заключённого с Клиентом договора поручения или комиссии; </w:t>
      </w:r>
    </w:p>
    <w:p w:rsidR="006D587C" w:rsidRPr="006D587C" w:rsidRDefault="00721086" w:rsidP="006D587C">
      <w:pPr>
        <w:spacing w:line="276" w:lineRule="auto"/>
        <w:jc w:val="both"/>
        <w:rPr>
          <w:sz w:val="24"/>
          <w:szCs w:val="24"/>
        </w:rPr>
      </w:pPr>
      <w:r w:rsidRPr="00721086">
        <w:rPr>
          <w:b/>
          <w:sz w:val="24"/>
          <w:szCs w:val="24"/>
        </w:rPr>
        <w:t>Р</w:t>
      </w:r>
      <w:r w:rsidR="006D587C" w:rsidRPr="00721086">
        <w:rPr>
          <w:b/>
          <w:sz w:val="24"/>
          <w:szCs w:val="24"/>
        </w:rPr>
        <w:t>аспоряжение</w:t>
      </w:r>
      <w:r w:rsidR="006D587C" w:rsidRPr="006D587C">
        <w:rPr>
          <w:sz w:val="24"/>
          <w:szCs w:val="24"/>
        </w:rPr>
        <w:t xml:space="preserve"> – первичный документ, содержащий указания о направлениях и способах использования ценных бумаг. </w:t>
      </w:r>
    </w:p>
    <w:p w:rsidR="00721086" w:rsidRDefault="006D587C" w:rsidP="00721086">
      <w:pPr>
        <w:spacing w:line="276" w:lineRule="auto"/>
        <w:ind w:firstLine="360"/>
        <w:jc w:val="both"/>
        <w:rPr>
          <w:sz w:val="24"/>
          <w:szCs w:val="24"/>
        </w:rPr>
      </w:pPr>
      <w:r w:rsidRPr="006D587C">
        <w:rPr>
          <w:sz w:val="24"/>
          <w:szCs w:val="24"/>
        </w:rPr>
        <w:t xml:space="preserve">1.3. В рамках осуществления брокерской деятельности Организация: </w:t>
      </w:r>
    </w:p>
    <w:p w:rsidR="006D587C" w:rsidRPr="00721086" w:rsidRDefault="006D587C" w:rsidP="00721086">
      <w:pPr>
        <w:pStyle w:val="a3"/>
        <w:numPr>
          <w:ilvl w:val="0"/>
          <w:numId w:val="3"/>
        </w:numPr>
        <w:spacing w:line="276" w:lineRule="auto"/>
        <w:jc w:val="both"/>
        <w:rPr>
          <w:sz w:val="24"/>
          <w:szCs w:val="24"/>
        </w:rPr>
      </w:pPr>
      <w:r w:rsidRPr="00721086">
        <w:rPr>
          <w:sz w:val="24"/>
          <w:szCs w:val="24"/>
        </w:rPr>
        <w:t xml:space="preserve">совершает сделки за счёт Клиента со всеми видами ценных бумаг (государственные ценные бумаги, корпоративные ценные бумаги и другие), в соответствии с законодательством; </w:t>
      </w:r>
    </w:p>
    <w:p w:rsidR="006D587C" w:rsidRPr="00721086" w:rsidRDefault="006D587C" w:rsidP="00721086">
      <w:pPr>
        <w:pStyle w:val="a3"/>
        <w:numPr>
          <w:ilvl w:val="0"/>
          <w:numId w:val="3"/>
        </w:numPr>
        <w:spacing w:line="276" w:lineRule="auto"/>
        <w:jc w:val="both"/>
        <w:rPr>
          <w:sz w:val="24"/>
          <w:szCs w:val="24"/>
        </w:rPr>
      </w:pPr>
      <w:r w:rsidRPr="00721086">
        <w:rPr>
          <w:sz w:val="24"/>
          <w:szCs w:val="24"/>
        </w:rPr>
        <w:t xml:space="preserve">оказывает консультационные услуги по вопросам выпуска, размещения и обращения ценных бумаг; </w:t>
      </w:r>
    </w:p>
    <w:p w:rsidR="006D587C" w:rsidRPr="00721086" w:rsidRDefault="006D587C" w:rsidP="00721086">
      <w:pPr>
        <w:pStyle w:val="a3"/>
        <w:numPr>
          <w:ilvl w:val="0"/>
          <w:numId w:val="3"/>
        </w:numPr>
        <w:spacing w:line="276" w:lineRule="auto"/>
        <w:jc w:val="both"/>
        <w:rPr>
          <w:sz w:val="24"/>
          <w:szCs w:val="24"/>
        </w:rPr>
      </w:pPr>
      <w:r w:rsidRPr="00721086">
        <w:rPr>
          <w:sz w:val="24"/>
          <w:szCs w:val="24"/>
        </w:rPr>
        <w:t xml:space="preserve">проводит размещение ценных бумаг эмитента; </w:t>
      </w:r>
    </w:p>
    <w:p w:rsidR="006D587C" w:rsidRPr="00721086" w:rsidRDefault="006D587C" w:rsidP="00721086">
      <w:pPr>
        <w:pStyle w:val="a3"/>
        <w:numPr>
          <w:ilvl w:val="0"/>
          <w:numId w:val="3"/>
        </w:numPr>
        <w:spacing w:line="276" w:lineRule="auto"/>
        <w:jc w:val="both"/>
        <w:rPr>
          <w:sz w:val="24"/>
          <w:szCs w:val="24"/>
        </w:rPr>
      </w:pPr>
      <w:r w:rsidRPr="00721086">
        <w:rPr>
          <w:sz w:val="24"/>
          <w:szCs w:val="24"/>
        </w:rPr>
        <w:t xml:space="preserve">регистрирует сделки с ценными бумагами; </w:t>
      </w:r>
    </w:p>
    <w:p w:rsidR="006D587C" w:rsidRPr="00721086" w:rsidRDefault="006D587C" w:rsidP="00721086">
      <w:pPr>
        <w:pStyle w:val="a3"/>
        <w:numPr>
          <w:ilvl w:val="0"/>
          <w:numId w:val="3"/>
        </w:numPr>
        <w:spacing w:line="276" w:lineRule="auto"/>
        <w:jc w:val="both"/>
        <w:rPr>
          <w:sz w:val="24"/>
          <w:szCs w:val="24"/>
        </w:rPr>
      </w:pPr>
      <w:r w:rsidRPr="00721086">
        <w:rPr>
          <w:sz w:val="24"/>
          <w:szCs w:val="24"/>
        </w:rPr>
        <w:t xml:space="preserve">проводит анализ и делает прогноз конъюнктуры рынка ценных бумаг; </w:t>
      </w:r>
    </w:p>
    <w:p w:rsidR="006D587C" w:rsidRPr="00721086" w:rsidRDefault="006D587C" w:rsidP="006D587C">
      <w:pPr>
        <w:pStyle w:val="a3"/>
        <w:numPr>
          <w:ilvl w:val="0"/>
          <w:numId w:val="3"/>
        </w:numPr>
        <w:spacing w:line="276" w:lineRule="auto"/>
        <w:jc w:val="both"/>
        <w:rPr>
          <w:sz w:val="24"/>
          <w:szCs w:val="24"/>
        </w:rPr>
      </w:pPr>
      <w:r w:rsidRPr="00721086">
        <w:rPr>
          <w:sz w:val="24"/>
          <w:szCs w:val="24"/>
        </w:rPr>
        <w:lastRenderedPageBreak/>
        <w:t>выполняет прочие работы и услуги, связанные с осуществлением брокерской деятельности, не противоречащие законодательству</w:t>
      </w:r>
    </w:p>
    <w:p w:rsidR="006B34AD" w:rsidRPr="00721086" w:rsidRDefault="006B34AD" w:rsidP="00721086">
      <w:pPr>
        <w:spacing w:line="276" w:lineRule="auto"/>
        <w:jc w:val="center"/>
        <w:rPr>
          <w:b/>
          <w:sz w:val="28"/>
          <w:szCs w:val="28"/>
        </w:rPr>
      </w:pPr>
      <w:r w:rsidRPr="00721086">
        <w:rPr>
          <w:b/>
          <w:sz w:val="28"/>
          <w:szCs w:val="28"/>
        </w:rPr>
        <w:t>2. Порядок осуществления брокерской деятельности</w:t>
      </w:r>
    </w:p>
    <w:p w:rsidR="006B34AD" w:rsidRPr="006D587C" w:rsidRDefault="006D587C" w:rsidP="006D587C">
      <w:pPr>
        <w:spacing w:line="276" w:lineRule="auto"/>
        <w:ind w:firstLine="360"/>
        <w:jc w:val="both"/>
        <w:rPr>
          <w:sz w:val="24"/>
          <w:szCs w:val="24"/>
        </w:rPr>
      </w:pPr>
      <w:r w:rsidRPr="006D587C">
        <w:rPr>
          <w:sz w:val="24"/>
          <w:szCs w:val="24"/>
        </w:rPr>
        <w:t>2.1. Организация</w:t>
      </w:r>
      <w:r w:rsidR="006B34AD" w:rsidRPr="006D587C">
        <w:rPr>
          <w:sz w:val="24"/>
          <w:szCs w:val="24"/>
        </w:rPr>
        <w:t xml:space="preserve"> выполняет работы и услуги, связанные с осуществлением брокерской деятельности, на основе заключаемого с Клиентом договора поручения или комиссии. Данный договор оформляется в письменном виде, позволяющем в документальной форме зафиксировать состоявшееся волеизъявление сторон. Существенными условиями договора являются: </w:t>
      </w:r>
    </w:p>
    <w:p w:rsidR="006B34AD" w:rsidRPr="006D587C" w:rsidRDefault="006B34AD" w:rsidP="006D587C">
      <w:pPr>
        <w:pStyle w:val="a3"/>
        <w:numPr>
          <w:ilvl w:val="0"/>
          <w:numId w:val="2"/>
        </w:numPr>
        <w:spacing w:line="276" w:lineRule="auto"/>
        <w:jc w:val="both"/>
        <w:rPr>
          <w:sz w:val="24"/>
          <w:szCs w:val="24"/>
        </w:rPr>
      </w:pPr>
      <w:r w:rsidRPr="006D587C">
        <w:rPr>
          <w:sz w:val="24"/>
          <w:szCs w:val="24"/>
        </w:rPr>
        <w:t xml:space="preserve">полное наименование, местонахождение (для юридического лица), фамилия, имя, отчество, место жительства (в соответствии с паспортными данными для физических лиц и индивидуальных предпринимателей) сторон договора; </w:t>
      </w:r>
    </w:p>
    <w:p w:rsidR="006B34AD" w:rsidRPr="006D587C" w:rsidRDefault="006B34AD" w:rsidP="006D587C">
      <w:pPr>
        <w:pStyle w:val="a3"/>
        <w:numPr>
          <w:ilvl w:val="0"/>
          <w:numId w:val="2"/>
        </w:numPr>
        <w:spacing w:line="276" w:lineRule="auto"/>
        <w:jc w:val="both"/>
        <w:rPr>
          <w:sz w:val="24"/>
          <w:szCs w:val="24"/>
        </w:rPr>
      </w:pPr>
      <w:r w:rsidRPr="006D587C">
        <w:rPr>
          <w:sz w:val="24"/>
          <w:szCs w:val="24"/>
        </w:rPr>
        <w:t xml:space="preserve">наименование ценных бумаг с указанием их вида, категории и типа; </w:t>
      </w:r>
    </w:p>
    <w:p w:rsidR="006B34AD" w:rsidRPr="006D587C" w:rsidRDefault="006B34AD" w:rsidP="006D587C">
      <w:pPr>
        <w:pStyle w:val="a3"/>
        <w:numPr>
          <w:ilvl w:val="0"/>
          <w:numId w:val="2"/>
        </w:numPr>
        <w:spacing w:line="276" w:lineRule="auto"/>
        <w:jc w:val="both"/>
        <w:rPr>
          <w:sz w:val="24"/>
          <w:szCs w:val="24"/>
        </w:rPr>
      </w:pPr>
      <w:r w:rsidRPr="006D587C">
        <w:rPr>
          <w:sz w:val="24"/>
          <w:szCs w:val="24"/>
        </w:rPr>
        <w:t xml:space="preserve">наименование юридического лица, осуществившего выпуск (выдачу) ценных бумаг; </w:t>
      </w:r>
    </w:p>
    <w:p w:rsidR="006B34AD" w:rsidRPr="006D587C" w:rsidRDefault="006B34AD" w:rsidP="006D587C">
      <w:pPr>
        <w:pStyle w:val="a3"/>
        <w:numPr>
          <w:ilvl w:val="0"/>
          <w:numId w:val="2"/>
        </w:numPr>
        <w:spacing w:line="276" w:lineRule="auto"/>
        <w:jc w:val="both"/>
        <w:rPr>
          <w:sz w:val="24"/>
          <w:szCs w:val="24"/>
        </w:rPr>
      </w:pPr>
      <w:r w:rsidRPr="006D587C">
        <w:rPr>
          <w:sz w:val="24"/>
          <w:szCs w:val="24"/>
        </w:rPr>
        <w:t xml:space="preserve">предельные уровни (минимальный и (или) максимальный) цены и (или) доходности сделок либо порядок их определения, при которых возможно исполнение сделок; </w:t>
      </w:r>
    </w:p>
    <w:p w:rsidR="00327030" w:rsidRDefault="006B34AD" w:rsidP="006D587C">
      <w:pPr>
        <w:pStyle w:val="a3"/>
        <w:numPr>
          <w:ilvl w:val="0"/>
          <w:numId w:val="2"/>
        </w:numPr>
        <w:spacing w:line="276" w:lineRule="auto"/>
        <w:jc w:val="both"/>
        <w:rPr>
          <w:sz w:val="24"/>
          <w:szCs w:val="24"/>
        </w:rPr>
      </w:pPr>
      <w:r w:rsidRPr="006D587C">
        <w:rPr>
          <w:sz w:val="24"/>
          <w:szCs w:val="24"/>
        </w:rPr>
        <w:t xml:space="preserve">размер, </w:t>
      </w:r>
      <w:r w:rsidR="00327030">
        <w:rPr>
          <w:sz w:val="24"/>
          <w:szCs w:val="24"/>
        </w:rPr>
        <w:t>форма и порядок получения Организацией</w:t>
      </w:r>
      <w:r w:rsidRPr="006D587C">
        <w:rPr>
          <w:sz w:val="24"/>
          <w:szCs w:val="24"/>
        </w:rPr>
        <w:t xml:space="preserve"> вознаграждения; </w:t>
      </w:r>
    </w:p>
    <w:p w:rsidR="006B34AD" w:rsidRPr="006D587C" w:rsidRDefault="006B34AD" w:rsidP="006D587C">
      <w:pPr>
        <w:pStyle w:val="a3"/>
        <w:numPr>
          <w:ilvl w:val="0"/>
          <w:numId w:val="2"/>
        </w:numPr>
        <w:spacing w:line="276" w:lineRule="auto"/>
        <w:jc w:val="both"/>
        <w:rPr>
          <w:sz w:val="24"/>
          <w:szCs w:val="24"/>
        </w:rPr>
      </w:pPr>
      <w:r w:rsidRPr="006D587C">
        <w:rPr>
          <w:sz w:val="24"/>
          <w:szCs w:val="24"/>
        </w:rPr>
        <w:t xml:space="preserve">ответственность сторон в случае неисполнения или ненадлежащего исполнения ими своих обязательств; </w:t>
      </w:r>
    </w:p>
    <w:p w:rsidR="006B34AD" w:rsidRPr="006D587C" w:rsidRDefault="006B34AD" w:rsidP="006D587C">
      <w:pPr>
        <w:pStyle w:val="a3"/>
        <w:numPr>
          <w:ilvl w:val="0"/>
          <w:numId w:val="2"/>
        </w:numPr>
        <w:spacing w:line="276" w:lineRule="auto"/>
        <w:jc w:val="both"/>
        <w:rPr>
          <w:sz w:val="24"/>
          <w:szCs w:val="24"/>
        </w:rPr>
      </w:pPr>
      <w:r w:rsidRPr="006D587C">
        <w:rPr>
          <w:sz w:val="24"/>
          <w:szCs w:val="24"/>
        </w:rPr>
        <w:t>сроки, форма</w:t>
      </w:r>
      <w:r w:rsidR="00327030">
        <w:rPr>
          <w:sz w:val="24"/>
          <w:szCs w:val="24"/>
        </w:rPr>
        <w:t xml:space="preserve"> и порядок предоставления Организацией</w:t>
      </w:r>
      <w:r w:rsidRPr="006D587C">
        <w:rPr>
          <w:sz w:val="24"/>
          <w:szCs w:val="24"/>
        </w:rPr>
        <w:t xml:space="preserve"> Клиенту информации об исполнении договора, а также сроки урегулирования разногласий по исполнению договора; </w:t>
      </w:r>
    </w:p>
    <w:p w:rsidR="006B34AD" w:rsidRPr="006D587C" w:rsidRDefault="006B34AD" w:rsidP="006D587C">
      <w:pPr>
        <w:pStyle w:val="a3"/>
        <w:numPr>
          <w:ilvl w:val="0"/>
          <w:numId w:val="2"/>
        </w:numPr>
        <w:spacing w:line="276" w:lineRule="auto"/>
        <w:jc w:val="both"/>
        <w:rPr>
          <w:sz w:val="24"/>
          <w:szCs w:val="24"/>
        </w:rPr>
      </w:pPr>
      <w:r w:rsidRPr="006D587C">
        <w:rPr>
          <w:sz w:val="24"/>
          <w:szCs w:val="24"/>
        </w:rPr>
        <w:t xml:space="preserve">иные условия, относительно которых по заявлению одной из сторон должно быть достигнуто соглашение. </w:t>
      </w:r>
    </w:p>
    <w:p w:rsidR="006B34AD" w:rsidRPr="006D587C" w:rsidRDefault="006B34AD" w:rsidP="006D587C">
      <w:pPr>
        <w:spacing w:line="276" w:lineRule="auto"/>
        <w:ind w:firstLine="360"/>
        <w:jc w:val="both"/>
        <w:rPr>
          <w:sz w:val="24"/>
          <w:szCs w:val="24"/>
        </w:rPr>
      </w:pPr>
      <w:r w:rsidRPr="006D587C">
        <w:rPr>
          <w:sz w:val="24"/>
          <w:szCs w:val="24"/>
        </w:rPr>
        <w:t xml:space="preserve">В договоре, заключаемом с физическим лицом, кроме того, должны содержаться следующие существенные условия: </w:t>
      </w:r>
    </w:p>
    <w:p w:rsidR="006B34AD" w:rsidRPr="006D587C" w:rsidRDefault="006B34AD" w:rsidP="006D587C">
      <w:pPr>
        <w:pStyle w:val="a3"/>
        <w:numPr>
          <w:ilvl w:val="0"/>
          <w:numId w:val="1"/>
        </w:numPr>
        <w:spacing w:line="276" w:lineRule="auto"/>
        <w:jc w:val="both"/>
        <w:rPr>
          <w:sz w:val="24"/>
          <w:szCs w:val="24"/>
        </w:rPr>
      </w:pPr>
      <w:r w:rsidRPr="006D587C">
        <w:rPr>
          <w:sz w:val="24"/>
          <w:szCs w:val="24"/>
        </w:rPr>
        <w:t xml:space="preserve">размер и порядок внесения денежных средств гражданами; </w:t>
      </w:r>
    </w:p>
    <w:p w:rsidR="006B34AD" w:rsidRPr="006D587C" w:rsidRDefault="006B34AD" w:rsidP="006D587C">
      <w:pPr>
        <w:pStyle w:val="a3"/>
        <w:numPr>
          <w:ilvl w:val="0"/>
          <w:numId w:val="1"/>
        </w:numPr>
        <w:spacing w:line="276" w:lineRule="auto"/>
        <w:jc w:val="both"/>
        <w:rPr>
          <w:sz w:val="24"/>
          <w:szCs w:val="24"/>
        </w:rPr>
      </w:pPr>
      <w:r w:rsidRPr="006D587C">
        <w:rPr>
          <w:sz w:val="24"/>
          <w:szCs w:val="24"/>
        </w:rPr>
        <w:t xml:space="preserve">срок исполнения обязательства; </w:t>
      </w:r>
    </w:p>
    <w:p w:rsidR="006B34AD" w:rsidRPr="006D587C" w:rsidRDefault="006B34AD" w:rsidP="006D587C">
      <w:pPr>
        <w:pStyle w:val="a3"/>
        <w:numPr>
          <w:ilvl w:val="0"/>
          <w:numId w:val="1"/>
        </w:numPr>
        <w:spacing w:line="276" w:lineRule="auto"/>
        <w:jc w:val="both"/>
        <w:rPr>
          <w:sz w:val="24"/>
          <w:szCs w:val="24"/>
        </w:rPr>
      </w:pPr>
      <w:r w:rsidRPr="006D587C">
        <w:rPr>
          <w:sz w:val="24"/>
          <w:szCs w:val="24"/>
        </w:rPr>
        <w:t xml:space="preserve">основания расторжения договора ранее установленного срока; </w:t>
      </w:r>
    </w:p>
    <w:p w:rsidR="006B34AD" w:rsidRPr="006D587C" w:rsidRDefault="006B34AD" w:rsidP="006D587C">
      <w:pPr>
        <w:pStyle w:val="a3"/>
        <w:numPr>
          <w:ilvl w:val="0"/>
          <w:numId w:val="1"/>
        </w:numPr>
        <w:spacing w:line="276" w:lineRule="auto"/>
        <w:jc w:val="both"/>
        <w:rPr>
          <w:sz w:val="24"/>
          <w:szCs w:val="24"/>
        </w:rPr>
      </w:pPr>
      <w:r w:rsidRPr="006D587C">
        <w:rPr>
          <w:sz w:val="24"/>
          <w:szCs w:val="24"/>
        </w:rPr>
        <w:t xml:space="preserve">порядок возврата гражданам денежных средств в случае неисполнения обязательства или расторжения договора ранее установленного срока; </w:t>
      </w:r>
    </w:p>
    <w:p w:rsidR="006B34AD" w:rsidRPr="006D587C" w:rsidRDefault="006B34AD" w:rsidP="006D587C">
      <w:pPr>
        <w:pStyle w:val="a3"/>
        <w:numPr>
          <w:ilvl w:val="0"/>
          <w:numId w:val="1"/>
        </w:numPr>
        <w:spacing w:line="276" w:lineRule="auto"/>
        <w:jc w:val="both"/>
        <w:rPr>
          <w:sz w:val="24"/>
          <w:szCs w:val="24"/>
        </w:rPr>
      </w:pPr>
      <w:r w:rsidRPr="006D587C">
        <w:rPr>
          <w:sz w:val="24"/>
          <w:szCs w:val="24"/>
        </w:rPr>
        <w:t xml:space="preserve">ответственность за неисполнение обязательства. </w:t>
      </w:r>
    </w:p>
    <w:p w:rsidR="006B34AD" w:rsidRPr="006D587C" w:rsidRDefault="006B34AD" w:rsidP="00721086">
      <w:pPr>
        <w:spacing w:line="276" w:lineRule="auto"/>
        <w:ind w:firstLine="360"/>
        <w:jc w:val="both"/>
        <w:rPr>
          <w:sz w:val="24"/>
          <w:szCs w:val="24"/>
        </w:rPr>
      </w:pPr>
      <w:r w:rsidRPr="006D587C">
        <w:rPr>
          <w:sz w:val="24"/>
          <w:szCs w:val="24"/>
        </w:rPr>
        <w:t>2.2. При обращении в Организацию предварительные переговоры с ним и подготовку проекта соответствующего договора пор</w:t>
      </w:r>
      <w:r w:rsidR="00E76F7B" w:rsidRPr="006D587C">
        <w:rPr>
          <w:sz w:val="24"/>
          <w:szCs w:val="24"/>
        </w:rPr>
        <w:t xml:space="preserve">учения или комиссии осуществляет отдел по работе с клиентами. </w:t>
      </w:r>
      <w:r w:rsidRPr="006D587C">
        <w:rPr>
          <w:sz w:val="24"/>
          <w:szCs w:val="24"/>
        </w:rPr>
        <w:t xml:space="preserve">В ходе предварительных переговоров сотрудники </w:t>
      </w:r>
      <w:r w:rsidR="006D587C" w:rsidRPr="006D587C">
        <w:rPr>
          <w:sz w:val="24"/>
          <w:szCs w:val="24"/>
        </w:rPr>
        <w:t>О</w:t>
      </w:r>
      <w:r w:rsidR="00E76F7B" w:rsidRPr="006D587C">
        <w:rPr>
          <w:sz w:val="24"/>
          <w:szCs w:val="24"/>
        </w:rPr>
        <w:t xml:space="preserve">рганизации </w:t>
      </w:r>
      <w:r w:rsidRPr="006D587C">
        <w:rPr>
          <w:sz w:val="24"/>
          <w:szCs w:val="24"/>
        </w:rPr>
        <w:t>согласовывают с Клиентом базовые условия сделки, существенные условия договора поручения или комиссии, консультируют Клиента по вопрос</w:t>
      </w:r>
      <w:r w:rsidR="00E76F7B" w:rsidRPr="006D587C">
        <w:rPr>
          <w:sz w:val="24"/>
          <w:szCs w:val="24"/>
        </w:rPr>
        <w:t>ам, связанным с осуществлением Организацией</w:t>
      </w:r>
      <w:r w:rsidRPr="006D587C">
        <w:rPr>
          <w:sz w:val="24"/>
          <w:szCs w:val="24"/>
        </w:rPr>
        <w:t xml:space="preserve"> брокерской деятельности. При этом по требованию Клиента сотрудники </w:t>
      </w:r>
      <w:r w:rsidR="00E76F7B" w:rsidRPr="006D587C">
        <w:rPr>
          <w:sz w:val="24"/>
          <w:szCs w:val="24"/>
        </w:rPr>
        <w:t>Организации</w:t>
      </w:r>
      <w:r w:rsidRPr="006D587C">
        <w:rPr>
          <w:sz w:val="24"/>
          <w:szCs w:val="24"/>
        </w:rPr>
        <w:t xml:space="preserve"> обязаны: представить ему копию свидетельства о государственной регистрации</w:t>
      </w:r>
      <w:r w:rsidR="006D587C" w:rsidRPr="006D587C">
        <w:rPr>
          <w:sz w:val="24"/>
          <w:szCs w:val="24"/>
        </w:rPr>
        <w:t xml:space="preserve"> </w:t>
      </w:r>
      <w:r w:rsidR="00E76F7B" w:rsidRPr="006D587C">
        <w:rPr>
          <w:sz w:val="24"/>
          <w:szCs w:val="24"/>
        </w:rPr>
        <w:t>Организации</w:t>
      </w:r>
      <w:r w:rsidRPr="006D587C">
        <w:rPr>
          <w:sz w:val="24"/>
          <w:szCs w:val="24"/>
        </w:rPr>
        <w:t xml:space="preserve">; ознакомить его с документами (специальным </w:t>
      </w:r>
      <w:r w:rsidRPr="006D587C">
        <w:rPr>
          <w:sz w:val="24"/>
          <w:szCs w:val="24"/>
        </w:rPr>
        <w:lastRenderedPageBreak/>
        <w:t>разрешением (лицензией) на осуществление профессиональной и биржевой деятельности по ценным бумагам, имеющей в качестве работ и услуг брокерскую деятельность, квалификационными аттестатами и доверенностями сотруднико</w:t>
      </w:r>
      <w:r w:rsidR="00E76F7B" w:rsidRPr="006D587C">
        <w:rPr>
          <w:sz w:val="24"/>
          <w:szCs w:val="24"/>
        </w:rPr>
        <w:t>в, перечнем вознаграждений Организации</w:t>
      </w:r>
      <w:r w:rsidR="00327030">
        <w:rPr>
          <w:sz w:val="24"/>
          <w:szCs w:val="24"/>
        </w:rPr>
        <w:t>, режимом работы Организации</w:t>
      </w:r>
      <w:r w:rsidRPr="006D587C">
        <w:rPr>
          <w:sz w:val="24"/>
          <w:szCs w:val="24"/>
        </w:rPr>
        <w:t>, примерными договорами по операциям с ценными бумагами, а также с настоящим Регламентом и иными локальными но</w:t>
      </w:r>
      <w:r w:rsidR="00E76F7B" w:rsidRPr="006D587C">
        <w:rPr>
          <w:sz w:val="24"/>
          <w:szCs w:val="24"/>
        </w:rPr>
        <w:t>рмативными правовыми актами Организации</w:t>
      </w:r>
      <w:r w:rsidRPr="006D587C">
        <w:rPr>
          <w:sz w:val="24"/>
          <w:szCs w:val="24"/>
        </w:rPr>
        <w:t xml:space="preserve">, регламентирующими операции с ценными бумагами). До заключения сделки с клиентом сотрудник </w:t>
      </w:r>
      <w:r w:rsidR="00E76F7B" w:rsidRPr="006D587C">
        <w:rPr>
          <w:sz w:val="24"/>
          <w:szCs w:val="24"/>
        </w:rPr>
        <w:t xml:space="preserve">Организации </w:t>
      </w:r>
      <w:r w:rsidR="006D587C" w:rsidRPr="006D587C">
        <w:rPr>
          <w:sz w:val="24"/>
          <w:szCs w:val="24"/>
        </w:rPr>
        <w:t>проверяет: у</w:t>
      </w:r>
      <w:r w:rsidRPr="006D587C">
        <w:rPr>
          <w:sz w:val="24"/>
          <w:szCs w:val="24"/>
        </w:rPr>
        <w:t xml:space="preserve"> Клиента - физического лица – документы, удостоверяющие или подтверждающие личность Клиента; у Клиента - юридического лица – свидетельство о государственной регистрации, учредительные документы, документы, подтверждающие полномочия подписывающего договор лица, а также документы, удостоверяющие или подтверждающие личность подписывающего договор лица. На основании анализа</w:t>
      </w:r>
      <w:r w:rsidR="00E76F7B" w:rsidRPr="006D587C">
        <w:rPr>
          <w:sz w:val="24"/>
          <w:szCs w:val="24"/>
        </w:rPr>
        <w:t xml:space="preserve"> предоставленных документов Организация</w:t>
      </w:r>
      <w:r w:rsidRPr="006D587C">
        <w:rPr>
          <w:sz w:val="24"/>
          <w:szCs w:val="24"/>
        </w:rPr>
        <w:t xml:space="preserve"> имеет право запрашивать иные сведения и документы.  </w:t>
      </w:r>
    </w:p>
    <w:p w:rsidR="006B34AD" w:rsidRPr="006D587C" w:rsidRDefault="006B34AD" w:rsidP="006D587C">
      <w:pPr>
        <w:spacing w:line="276" w:lineRule="auto"/>
        <w:ind w:firstLine="708"/>
        <w:jc w:val="both"/>
        <w:rPr>
          <w:sz w:val="24"/>
          <w:szCs w:val="24"/>
        </w:rPr>
      </w:pPr>
      <w:r w:rsidRPr="006D587C">
        <w:rPr>
          <w:sz w:val="24"/>
          <w:szCs w:val="24"/>
        </w:rPr>
        <w:t>2.3. В случае готовности Клиента к подписанию проекта договора поручения или</w:t>
      </w:r>
      <w:r w:rsidR="00E76F7B" w:rsidRPr="006D587C">
        <w:rPr>
          <w:sz w:val="24"/>
          <w:szCs w:val="24"/>
        </w:rPr>
        <w:t xml:space="preserve"> комиссии на согласованных с условиями Организации, сотрудник Организации</w:t>
      </w:r>
      <w:r w:rsidRPr="006D587C">
        <w:rPr>
          <w:sz w:val="24"/>
          <w:szCs w:val="24"/>
        </w:rPr>
        <w:t xml:space="preserve"> распечатывает проект договора в двух экземплярах, визирует его собственноручно, </w:t>
      </w:r>
      <w:r w:rsidR="006D587C" w:rsidRPr="006D587C">
        <w:rPr>
          <w:sz w:val="24"/>
          <w:szCs w:val="24"/>
        </w:rPr>
        <w:t>передаёт</w:t>
      </w:r>
      <w:r w:rsidRPr="006D587C">
        <w:rPr>
          <w:sz w:val="24"/>
          <w:szCs w:val="24"/>
        </w:rPr>
        <w:t xml:space="preserve"> вместе с иными документами для проверки и</w:t>
      </w:r>
      <w:r w:rsidR="00E76F7B" w:rsidRPr="006D587C">
        <w:rPr>
          <w:sz w:val="24"/>
          <w:szCs w:val="24"/>
        </w:rPr>
        <w:t xml:space="preserve"> визирования руководителю</w:t>
      </w:r>
      <w:r w:rsidRPr="006D587C">
        <w:rPr>
          <w:sz w:val="24"/>
          <w:szCs w:val="24"/>
        </w:rPr>
        <w:t>. Надлежащим образом завизированный договор поручения или комиссии предоставляется для подписания Клиенту (его уполномо</w:t>
      </w:r>
      <w:r w:rsidR="00E76F7B" w:rsidRPr="006D587C">
        <w:rPr>
          <w:sz w:val="24"/>
          <w:szCs w:val="24"/>
        </w:rPr>
        <w:t>ченному представителю)</w:t>
      </w:r>
      <w:r w:rsidRPr="006D587C">
        <w:rPr>
          <w:sz w:val="24"/>
          <w:szCs w:val="24"/>
        </w:rPr>
        <w:t xml:space="preserve">. </w:t>
      </w:r>
    </w:p>
    <w:p w:rsidR="006B34AD" w:rsidRPr="006D587C" w:rsidRDefault="006B34AD" w:rsidP="006D587C">
      <w:pPr>
        <w:spacing w:line="276" w:lineRule="auto"/>
        <w:ind w:firstLine="708"/>
        <w:jc w:val="both"/>
        <w:rPr>
          <w:sz w:val="24"/>
          <w:szCs w:val="24"/>
        </w:rPr>
      </w:pPr>
      <w:r w:rsidRPr="006D587C">
        <w:rPr>
          <w:sz w:val="24"/>
          <w:szCs w:val="24"/>
        </w:rPr>
        <w:t xml:space="preserve">2.4. После подписания договора поручения или комиссии сторонами один </w:t>
      </w:r>
      <w:bookmarkStart w:id="0" w:name="_GoBack"/>
      <w:bookmarkEnd w:id="0"/>
      <w:r w:rsidRPr="006D587C">
        <w:rPr>
          <w:sz w:val="24"/>
          <w:szCs w:val="24"/>
        </w:rPr>
        <w:t xml:space="preserve">экземпляр договора </w:t>
      </w:r>
      <w:r w:rsidR="006D587C" w:rsidRPr="006D587C">
        <w:rPr>
          <w:sz w:val="24"/>
          <w:szCs w:val="24"/>
        </w:rPr>
        <w:t>передаётся</w:t>
      </w:r>
      <w:r w:rsidRPr="006D587C">
        <w:rPr>
          <w:sz w:val="24"/>
          <w:szCs w:val="24"/>
        </w:rPr>
        <w:t xml:space="preserve"> Клиенту (его уполномоченному представителю), со второго экземпляра договора делается копия, оригинал второго экземпляра договора </w:t>
      </w:r>
      <w:r w:rsidR="006D587C" w:rsidRPr="006D587C">
        <w:rPr>
          <w:sz w:val="24"/>
          <w:szCs w:val="24"/>
        </w:rPr>
        <w:t>передаётся</w:t>
      </w:r>
      <w:r w:rsidRPr="006D587C">
        <w:rPr>
          <w:sz w:val="24"/>
          <w:szCs w:val="24"/>
        </w:rPr>
        <w:t xml:space="preserve"> для </w:t>
      </w:r>
      <w:r w:rsidR="006D587C" w:rsidRPr="006D587C">
        <w:rPr>
          <w:sz w:val="24"/>
          <w:szCs w:val="24"/>
        </w:rPr>
        <w:t>учёта</w:t>
      </w:r>
      <w:r w:rsidRPr="006D587C">
        <w:rPr>
          <w:sz w:val="24"/>
          <w:szCs w:val="24"/>
        </w:rPr>
        <w:t xml:space="preserve"> и хранения</w:t>
      </w:r>
      <w:r w:rsidR="006D587C" w:rsidRPr="006D587C">
        <w:rPr>
          <w:sz w:val="24"/>
          <w:szCs w:val="24"/>
        </w:rPr>
        <w:t>.</w:t>
      </w:r>
      <w:r w:rsidRPr="006D587C">
        <w:rPr>
          <w:sz w:val="24"/>
          <w:szCs w:val="24"/>
        </w:rPr>
        <w:t xml:space="preserve"> </w:t>
      </w:r>
    </w:p>
    <w:p w:rsidR="006B34AD" w:rsidRPr="006D587C" w:rsidRDefault="006D587C" w:rsidP="006D587C">
      <w:pPr>
        <w:spacing w:line="276" w:lineRule="auto"/>
        <w:ind w:firstLine="708"/>
        <w:jc w:val="both"/>
        <w:rPr>
          <w:sz w:val="24"/>
          <w:szCs w:val="24"/>
        </w:rPr>
      </w:pPr>
      <w:r>
        <w:rPr>
          <w:sz w:val="24"/>
          <w:szCs w:val="24"/>
        </w:rPr>
        <w:t>2.5</w:t>
      </w:r>
      <w:r w:rsidR="006B34AD" w:rsidRPr="006D587C">
        <w:rPr>
          <w:sz w:val="24"/>
          <w:szCs w:val="24"/>
        </w:rPr>
        <w:t xml:space="preserve">. Последовательность совершения сделок с ценными бумагами во исполнение договора поручения или комиссии на внебиржевом рынке следующая: </w:t>
      </w:r>
    </w:p>
    <w:p w:rsidR="006B34AD" w:rsidRPr="006D587C" w:rsidRDefault="006D587C" w:rsidP="006D587C">
      <w:pPr>
        <w:spacing w:line="276" w:lineRule="auto"/>
        <w:ind w:firstLine="708"/>
        <w:jc w:val="both"/>
        <w:rPr>
          <w:sz w:val="24"/>
          <w:szCs w:val="24"/>
        </w:rPr>
      </w:pPr>
      <w:r>
        <w:rPr>
          <w:sz w:val="24"/>
          <w:szCs w:val="24"/>
        </w:rPr>
        <w:t>2.5.1</w:t>
      </w:r>
      <w:r w:rsidR="006B34AD" w:rsidRPr="006D587C">
        <w:rPr>
          <w:sz w:val="24"/>
          <w:szCs w:val="24"/>
        </w:rPr>
        <w:t xml:space="preserve">. Обсуждение базовых условий сделки. Предложение Контрагента о совершении конкретной сделки на внебиржевом рынке (с указанием наименования ценной бумаги, вида операции, количества ценных бумаг, суммы сделки, срока </w:t>
      </w:r>
      <w:r w:rsidRPr="006D587C">
        <w:rPr>
          <w:sz w:val="24"/>
          <w:szCs w:val="24"/>
        </w:rPr>
        <w:t>расчётов</w:t>
      </w:r>
      <w:r w:rsidR="006B34AD" w:rsidRPr="006D587C">
        <w:rPr>
          <w:sz w:val="24"/>
          <w:szCs w:val="24"/>
        </w:rPr>
        <w:t xml:space="preserve"> и иных существенных условий сделки) может поступать как в письменной, так и в устной форме. </w:t>
      </w:r>
    </w:p>
    <w:p w:rsidR="006B34AD" w:rsidRPr="006D587C" w:rsidRDefault="006D587C" w:rsidP="006D587C">
      <w:pPr>
        <w:spacing w:line="276" w:lineRule="auto"/>
        <w:ind w:firstLine="708"/>
        <w:jc w:val="both"/>
        <w:rPr>
          <w:sz w:val="24"/>
          <w:szCs w:val="24"/>
        </w:rPr>
      </w:pPr>
      <w:r>
        <w:rPr>
          <w:sz w:val="24"/>
          <w:szCs w:val="24"/>
        </w:rPr>
        <w:t>2.5.</w:t>
      </w:r>
      <w:r w:rsidR="006B34AD" w:rsidRPr="006D587C">
        <w:rPr>
          <w:sz w:val="24"/>
          <w:szCs w:val="24"/>
        </w:rPr>
        <w:t>2. Предложение встре</w:t>
      </w:r>
      <w:r w:rsidR="00327030">
        <w:rPr>
          <w:sz w:val="24"/>
          <w:szCs w:val="24"/>
        </w:rPr>
        <w:t>чных условий заключения сделки Организацией</w:t>
      </w:r>
      <w:r w:rsidR="006B34AD" w:rsidRPr="006D587C">
        <w:rPr>
          <w:sz w:val="24"/>
          <w:szCs w:val="24"/>
        </w:rPr>
        <w:t>. После рассмотрения поступившего предложения до Контрагента доводятся встречные условия по совершению данной сделки либо отказ в совершении сделки. Договоры заключаются на условиях, установленн</w:t>
      </w:r>
      <w:r w:rsidR="00E76F7B" w:rsidRPr="006D587C">
        <w:rPr>
          <w:sz w:val="24"/>
          <w:szCs w:val="24"/>
        </w:rPr>
        <w:t>ых Перечнем вознаграждений Организации</w:t>
      </w:r>
      <w:r w:rsidR="006B34AD" w:rsidRPr="006D587C">
        <w:rPr>
          <w:sz w:val="24"/>
          <w:szCs w:val="24"/>
        </w:rPr>
        <w:t>, настоящим Регламентом и иными локальными прав</w:t>
      </w:r>
      <w:r w:rsidR="00E76F7B" w:rsidRPr="006D587C">
        <w:rPr>
          <w:sz w:val="24"/>
          <w:szCs w:val="24"/>
        </w:rPr>
        <w:t>овыми актами Организации</w:t>
      </w:r>
      <w:r w:rsidR="006B34AD" w:rsidRPr="006D587C">
        <w:rPr>
          <w:sz w:val="24"/>
          <w:szCs w:val="24"/>
        </w:rPr>
        <w:t>. Решение вопроса о совершении или отказе в совершении сделки с Клиент</w:t>
      </w:r>
      <w:r w:rsidR="00E76F7B" w:rsidRPr="006D587C">
        <w:rPr>
          <w:sz w:val="24"/>
          <w:szCs w:val="24"/>
        </w:rPr>
        <w:t>ом находится в компетенции Организации. Организация</w:t>
      </w:r>
      <w:r w:rsidR="006B34AD" w:rsidRPr="006D587C">
        <w:rPr>
          <w:sz w:val="24"/>
          <w:szCs w:val="24"/>
        </w:rPr>
        <w:t xml:space="preserve"> отказывается</w:t>
      </w:r>
      <w:r w:rsidR="00E76F7B" w:rsidRPr="006D587C">
        <w:rPr>
          <w:sz w:val="24"/>
          <w:szCs w:val="24"/>
        </w:rPr>
        <w:t xml:space="preserve"> от совершения сделки, если Организацию</w:t>
      </w:r>
      <w:r w:rsidR="006B34AD" w:rsidRPr="006D587C">
        <w:rPr>
          <w:sz w:val="24"/>
          <w:szCs w:val="24"/>
        </w:rPr>
        <w:t xml:space="preserve"> не устраивают предложенные Контрагентом условия сделки, Контрагентом не предоставлены документы, установленные настоящим Регламентом, и в </w:t>
      </w:r>
      <w:r w:rsidR="00E76F7B" w:rsidRPr="006D587C">
        <w:rPr>
          <w:sz w:val="24"/>
          <w:szCs w:val="24"/>
        </w:rPr>
        <w:t xml:space="preserve">иных случаях по усмотрению </w:t>
      </w:r>
      <w:r w:rsidR="00E76F7B" w:rsidRPr="006D587C">
        <w:rPr>
          <w:sz w:val="24"/>
          <w:szCs w:val="24"/>
        </w:rPr>
        <w:lastRenderedPageBreak/>
        <w:t>Организации</w:t>
      </w:r>
      <w:r w:rsidR="006B34AD" w:rsidRPr="006D587C">
        <w:rPr>
          <w:sz w:val="24"/>
          <w:szCs w:val="24"/>
        </w:rPr>
        <w:t xml:space="preserve">. В случае если предложение Контрагента поступило в устной форме, ответ предоставляется ему также в устной форме, а если предложение Контрагента поступило в письменной форме – в письменной форме; </w:t>
      </w:r>
    </w:p>
    <w:p w:rsidR="006B34AD" w:rsidRPr="006D587C" w:rsidRDefault="006B34AD" w:rsidP="006D587C">
      <w:pPr>
        <w:spacing w:line="276" w:lineRule="auto"/>
        <w:ind w:firstLine="708"/>
        <w:jc w:val="both"/>
        <w:rPr>
          <w:sz w:val="24"/>
          <w:szCs w:val="24"/>
        </w:rPr>
      </w:pPr>
      <w:r w:rsidRPr="006D587C">
        <w:rPr>
          <w:sz w:val="24"/>
          <w:szCs w:val="24"/>
        </w:rPr>
        <w:t>2.</w:t>
      </w:r>
      <w:r w:rsidR="006D587C">
        <w:rPr>
          <w:sz w:val="24"/>
          <w:szCs w:val="24"/>
        </w:rPr>
        <w:t>5</w:t>
      </w:r>
      <w:r w:rsidRPr="006D587C">
        <w:rPr>
          <w:sz w:val="24"/>
          <w:szCs w:val="24"/>
        </w:rPr>
        <w:t xml:space="preserve">.3. Заключение соответствующего договора (примерные формы приведены в приложениях к настоящему Регламенту), организация его </w:t>
      </w:r>
      <w:r w:rsidR="006D587C" w:rsidRPr="006D587C">
        <w:rPr>
          <w:sz w:val="24"/>
          <w:szCs w:val="24"/>
        </w:rPr>
        <w:t>учёта</w:t>
      </w:r>
      <w:r w:rsidRPr="006D587C">
        <w:rPr>
          <w:sz w:val="24"/>
          <w:szCs w:val="24"/>
        </w:rPr>
        <w:t xml:space="preserve"> и хранения; </w:t>
      </w:r>
    </w:p>
    <w:p w:rsidR="006B34AD" w:rsidRPr="006D587C" w:rsidRDefault="006B34AD" w:rsidP="006D587C">
      <w:pPr>
        <w:spacing w:line="276" w:lineRule="auto"/>
        <w:ind w:firstLine="708"/>
        <w:jc w:val="both"/>
        <w:rPr>
          <w:sz w:val="24"/>
          <w:szCs w:val="24"/>
        </w:rPr>
      </w:pPr>
      <w:r w:rsidRPr="006D587C">
        <w:rPr>
          <w:sz w:val="24"/>
          <w:szCs w:val="24"/>
        </w:rPr>
        <w:t>2.</w:t>
      </w:r>
      <w:r w:rsidR="006D587C">
        <w:rPr>
          <w:sz w:val="24"/>
          <w:szCs w:val="24"/>
        </w:rPr>
        <w:t>5</w:t>
      </w:r>
      <w:r w:rsidRPr="006D587C">
        <w:rPr>
          <w:sz w:val="24"/>
          <w:szCs w:val="24"/>
        </w:rPr>
        <w:t xml:space="preserve">.4. Исполнение договора в соответствии с </w:t>
      </w:r>
      <w:r w:rsidR="006D587C" w:rsidRPr="006D587C">
        <w:rPr>
          <w:sz w:val="24"/>
          <w:szCs w:val="24"/>
        </w:rPr>
        <w:t>оговорённым</w:t>
      </w:r>
      <w:r w:rsidRPr="006D587C">
        <w:rPr>
          <w:sz w:val="24"/>
          <w:szCs w:val="24"/>
        </w:rPr>
        <w:t xml:space="preserve"> в нем порядком перечисления денежных средств и перевода ценных бумаг. </w:t>
      </w:r>
    </w:p>
    <w:p w:rsidR="006B34AD" w:rsidRPr="006D587C" w:rsidRDefault="006D587C" w:rsidP="006D587C">
      <w:pPr>
        <w:spacing w:line="276" w:lineRule="auto"/>
        <w:ind w:firstLine="708"/>
        <w:jc w:val="both"/>
        <w:rPr>
          <w:sz w:val="24"/>
          <w:szCs w:val="24"/>
        </w:rPr>
      </w:pPr>
      <w:r>
        <w:rPr>
          <w:sz w:val="24"/>
          <w:szCs w:val="24"/>
        </w:rPr>
        <w:t>2.6.</w:t>
      </w:r>
      <w:r w:rsidR="006B34AD" w:rsidRPr="006D587C">
        <w:rPr>
          <w:sz w:val="24"/>
          <w:szCs w:val="24"/>
        </w:rPr>
        <w:t xml:space="preserve"> На биржевом рынке сделки заключаются в соответствии с порядком торгов, установленным соответствующей биржей. В общем случае последовательность совершения сделок с ценными бумагами на бирже следующая: зачисление Клиентом денежных средств на </w:t>
      </w:r>
      <w:r w:rsidRPr="006D587C">
        <w:rPr>
          <w:sz w:val="24"/>
          <w:szCs w:val="24"/>
        </w:rPr>
        <w:t>счёт</w:t>
      </w:r>
      <w:r w:rsidR="006B34AD" w:rsidRPr="006D587C">
        <w:rPr>
          <w:sz w:val="24"/>
          <w:szCs w:val="24"/>
        </w:rPr>
        <w:t xml:space="preserve"> Организации; зачисление денежных средств либо ценных бумаг на торговые счета биржи; заключение сделок в торговой системе биржи; получение </w:t>
      </w:r>
      <w:r w:rsidRPr="006D587C">
        <w:rPr>
          <w:sz w:val="24"/>
          <w:szCs w:val="24"/>
        </w:rPr>
        <w:t>отчётов</w:t>
      </w:r>
      <w:r w:rsidR="006B34AD" w:rsidRPr="006D587C">
        <w:rPr>
          <w:sz w:val="24"/>
          <w:szCs w:val="24"/>
        </w:rPr>
        <w:t xml:space="preserve"> о совершенных сделках; вывод денежных средств либо ценных бумаг с торговых счетов биржи на счета Организации. </w:t>
      </w:r>
    </w:p>
    <w:p w:rsidR="006B34AD" w:rsidRPr="006D587C" w:rsidRDefault="006D587C" w:rsidP="006D587C">
      <w:pPr>
        <w:spacing w:line="276" w:lineRule="auto"/>
        <w:ind w:firstLine="708"/>
        <w:jc w:val="both"/>
        <w:rPr>
          <w:sz w:val="24"/>
          <w:szCs w:val="24"/>
        </w:rPr>
      </w:pPr>
      <w:r>
        <w:rPr>
          <w:sz w:val="24"/>
          <w:szCs w:val="24"/>
        </w:rPr>
        <w:t>2.7</w:t>
      </w:r>
      <w:r w:rsidR="006B34AD" w:rsidRPr="006D587C">
        <w:rPr>
          <w:sz w:val="24"/>
          <w:szCs w:val="24"/>
        </w:rPr>
        <w:t xml:space="preserve">. При осуществлении брокерской деятельности Организация обязана: сохранять коммерческую тайну обо всех сделках, совершенных во исполнение договора поручения или комиссии, а также сохранять все сведения о таких сделках; требовать от представителей Клиента подтверждения их полномочий на представление интересов Клиента; действовать на наиболее выгодных для Клиента условиях; исполнять поручения Клиента в порядке их поступления в полном соответствии с полученными от него указаниями; уведомлять Клиента о приостановлении действия лицензии, </w:t>
      </w:r>
      <w:proofErr w:type="spellStart"/>
      <w:r w:rsidR="006B34AD" w:rsidRPr="006D587C">
        <w:rPr>
          <w:sz w:val="24"/>
          <w:szCs w:val="24"/>
        </w:rPr>
        <w:t>ее</w:t>
      </w:r>
      <w:proofErr w:type="spellEnd"/>
      <w:r w:rsidR="006B34AD" w:rsidRPr="006D587C">
        <w:rPr>
          <w:sz w:val="24"/>
          <w:szCs w:val="24"/>
        </w:rPr>
        <w:t xml:space="preserve"> аннулировании в срок не позднее пяти рабочих дней с момента приостановления действия, аннулирования;  совершать сделки с ценными бумагами по поручению Клиента в приоритетном порядке по отношению к дилерской деятельности Организации; </w:t>
      </w:r>
    </w:p>
    <w:p w:rsidR="006B34AD" w:rsidRPr="006D587C" w:rsidRDefault="006D587C" w:rsidP="006D587C">
      <w:pPr>
        <w:spacing w:line="276" w:lineRule="auto"/>
        <w:ind w:firstLine="708"/>
        <w:jc w:val="both"/>
        <w:rPr>
          <w:sz w:val="24"/>
          <w:szCs w:val="24"/>
        </w:rPr>
      </w:pPr>
      <w:r>
        <w:rPr>
          <w:sz w:val="24"/>
          <w:szCs w:val="24"/>
        </w:rPr>
        <w:t>2.8</w:t>
      </w:r>
      <w:r w:rsidR="006B34AD" w:rsidRPr="006D587C">
        <w:rPr>
          <w:sz w:val="24"/>
          <w:szCs w:val="24"/>
        </w:rPr>
        <w:t xml:space="preserve">. Не допускается использование Организацией ценных бумаг Клиента в период их нахождения у него без соответствующего распоряжения Клиента, кроме случаев, специально </w:t>
      </w:r>
      <w:r w:rsidRPr="006D587C">
        <w:rPr>
          <w:sz w:val="24"/>
          <w:szCs w:val="24"/>
        </w:rPr>
        <w:t>оговорённых</w:t>
      </w:r>
      <w:r w:rsidR="006B34AD" w:rsidRPr="006D587C">
        <w:rPr>
          <w:sz w:val="24"/>
          <w:szCs w:val="24"/>
        </w:rPr>
        <w:t xml:space="preserve"> в договоре поручения или комиссии. </w:t>
      </w:r>
    </w:p>
    <w:p w:rsidR="006B34AD" w:rsidRPr="006D587C" w:rsidRDefault="006D587C" w:rsidP="006D587C">
      <w:pPr>
        <w:spacing w:line="276" w:lineRule="auto"/>
        <w:ind w:firstLine="708"/>
        <w:jc w:val="both"/>
        <w:rPr>
          <w:sz w:val="24"/>
          <w:szCs w:val="24"/>
        </w:rPr>
      </w:pPr>
      <w:r>
        <w:rPr>
          <w:sz w:val="24"/>
          <w:szCs w:val="24"/>
        </w:rPr>
        <w:t>2.9</w:t>
      </w:r>
      <w:r w:rsidR="006B34AD" w:rsidRPr="006D587C">
        <w:rPr>
          <w:sz w:val="24"/>
          <w:szCs w:val="24"/>
        </w:rPr>
        <w:t xml:space="preserve">. В случаях, не противоречащих законодательству, </w:t>
      </w:r>
      <w:proofErr w:type="gramStart"/>
      <w:r w:rsidR="006B34AD" w:rsidRPr="006D587C">
        <w:rPr>
          <w:sz w:val="24"/>
          <w:szCs w:val="24"/>
        </w:rPr>
        <w:t>и</w:t>
      </w:r>
      <w:proofErr w:type="gramEnd"/>
      <w:r w:rsidR="006B34AD" w:rsidRPr="006D587C">
        <w:rPr>
          <w:sz w:val="24"/>
          <w:szCs w:val="24"/>
        </w:rPr>
        <w:t xml:space="preserve"> если иное не предусмотрено договором поручения или комиссии, Организация имеет право получить из поступивших в его распоряжение денежных средств Клиента причитающееся ему по договору поручения или комиссии вознаграждение. Иное использование Организацией денежных средств Клиента, находящихся на его счетах, без распоряжения Клиента не допускается, кроме случаев, специально </w:t>
      </w:r>
      <w:r w:rsidRPr="006D587C">
        <w:rPr>
          <w:sz w:val="24"/>
          <w:szCs w:val="24"/>
        </w:rPr>
        <w:t>оговорённых</w:t>
      </w:r>
      <w:r w:rsidR="006B34AD" w:rsidRPr="006D587C">
        <w:rPr>
          <w:sz w:val="24"/>
          <w:szCs w:val="24"/>
        </w:rPr>
        <w:t xml:space="preserve"> в договоре поручения или комиссии. </w:t>
      </w:r>
    </w:p>
    <w:p w:rsidR="009B76EC" w:rsidRPr="006D587C" w:rsidRDefault="006D587C" w:rsidP="006D587C">
      <w:pPr>
        <w:spacing w:line="276" w:lineRule="auto"/>
        <w:ind w:firstLine="708"/>
        <w:jc w:val="both"/>
        <w:rPr>
          <w:sz w:val="24"/>
          <w:szCs w:val="24"/>
        </w:rPr>
      </w:pPr>
      <w:r>
        <w:rPr>
          <w:sz w:val="24"/>
          <w:szCs w:val="24"/>
        </w:rPr>
        <w:t>2.10</w:t>
      </w:r>
      <w:r w:rsidR="006B34AD" w:rsidRPr="006D587C">
        <w:rPr>
          <w:sz w:val="24"/>
          <w:szCs w:val="24"/>
        </w:rPr>
        <w:t>. Организация и его обособленные подразделения (филиалы) осуществляет брокерскую деятельность в течение операционного дня, который начинается в рабочие дни в 9.00, а заканчивается: понедельник – четверг – в 17.30; пятница – 16.15; предпраздничные дни – 16.30; предпраздничная пятница – 15.15.</w:t>
      </w:r>
    </w:p>
    <w:sectPr w:rsidR="009B76EC" w:rsidRPr="006D587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880" w:rsidRDefault="00741880" w:rsidP="00327030">
      <w:pPr>
        <w:spacing w:after="0" w:line="240" w:lineRule="auto"/>
      </w:pPr>
      <w:r>
        <w:separator/>
      </w:r>
    </w:p>
  </w:endnote>
  <w:endnote w:type="continuationSeparator" w:id="0">
    <w:p w:rsidR="00741880" w:rsidRDefault="00741880" w:rsidP="00327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606178"/>
      <w:docPartObj>
        <w:docPartGallery w:val="Page Numbers (Bottom of Page)"/>
        <w:docPartUnique/>
      </w:docPartObj>
    </w:sdtPr>
    <w:sdtContent>
      <w:p w:rsidR="00327030" w:rsidRDefault="00327030">
        <w:pPr>
          <w:pStyle w:val="a8"/>
          <w:jc w:val="center"/>
        </w:pPr>
        <w:r>
          <w:fldChar w:fldCharType="begin"/>
        </w:r>
        <w:r>
          <w:instrText>PAGE   \* MERGEFORMAT</w:instrText>
        </w:r>
        <w:r>
          <w:fldChar w:fldCharType="separate"/>
        </w:r>
        <w:r>
          <w:rPr>
            <w:noProof/>
          </w:rPr>
          <w:t>5</w:t>
        </w:r>
        <w:r>
          <w:fldChar w:fldCharType="end"/>
        </w:r>
      </w:p>
    </w:sdtContent>
  </w:sdt>
  <w:p w:rsidR="00327030" w:rsidRDefault="0032703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880" w:rsidRDefault="00741880" w:rsidP="00327030">
      <w:pPr>
        <w:spacing w:after="0" w:line="240" w:lineRule="auto"/>
      </w:pPr>
      <w:r>
        <w:separator/>
      </w:r>
    </w:p>
  </w:footnote>
  <w:footnote w:type="continuationSeparator" w:id="0">
    <w:p w:rsidR="00741880" w:rsidRDefault="00741880" w:rsidP="00327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83F27"/>
    <w:multiLevelType w:val="hybridMultilevel"/>
    <w:tmpl w:val="ED0EF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3451AD"/>
    <w:multiLevelType w:val="hybridMultilevel"/>
    <w:tmpl w:val="300A5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B594CD1"/>
    <w:multiLevelType w:val="hybridMultilevel"/>
    <w:tmpl w:val="4718E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03"/>
    <w:rsid w:val="002A1403"/>
    <w:rsid w:val="00327030"/>
    <w:rsid w:val="0045677F"/>
    <w:rsid w:val="006B34AD"/>
    <w:rsid w:val="006D587C"/>
    <w:rsid w:val="00721086"/>
    <w:rsid w:val="00741880"/>
    <w:rsid w:val="009B76EC"/>
    <w:rsid w:val="00E76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41CA5-FC1B-4EB6-8C99-96ED3D49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4AD"/>
    <w:pPr>
      <w:ind w:left="720"/>
      <w:contextualSpacing/>
    </w:pPr>
  </w:style>
  <w:style w:type="paragraph" w:styleId="a4">
    <w:name w:val="Balloon Text"/>
    <w:basedOn w:val="a"/>
    <w:link w:val="a5"/>
    <w:uiPriority w:val="99"/>
    <w:semiHidden/>
    <w:unhideWhenUsed/>
    <w:rsid w:val="003270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27030"/>
    <w:rPr>
      <w:rFonts w:ascii="Segoe UI" w:hAnsi="Segoe UI" w:cs="Segoe UI"/>
      <w:sz w:val="18"/>
      <w:szCs w:val="18"/>
    </w:rPr>
  </w:style>
  <w:style w:type="paragraph" w:styleId="a6">
    <w:name w:val="header"/>
    <w:basedOn w:val="a"/>
    <w:link w:val="a7"/>
    <w:uiPriority w:val="99"/>
    <w:unhideWhenUsed/>
    <w:rsid w:val="003270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7030"/>
  </w:style>
  <w:style w:type="paragraph" w:styleId="a8">
    <w:name w:val="footer"/>
    <w:basedOn w:val="a"/>
    <w:link w:val="a9"/>
    <w:uiPriority w:val="99"/>
    <w:unhideWhenUsed/>
    <w:rsid w:val="0032703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1565</Words>
  <Characters>8925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Вашкевич Г.Н.</dc:creator>
  <cp:keywords/>
  <dc:description/>
  <cp:lastModifiedBy>Вашкевич Г.Н.</cp:lastModifiedBy>
  <cp:revision>4</cp:revision>
  <cp:lastPrinted>2017-09-06T08:04:00Z</cp:lastPrinted>
  <dcterms:created xsi:type="dcterms:W3CDTF">2017-09-05T13:54:00Z</dcterms:created>
  <dcterms:modified xsi:type="dcterms:W3CDTF">2017-09-06T08:08:00Z</dcterms:modified>
</cp:coreProperties>
</file>